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53" w:rsidRPr="00AB0703" w:rsidRDefault="000B3E1E" w:rsidP="00236B66">
      <w:pPr>
        <w:jc w:val="right"/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>平成２６年９月</w:t>
      </w:r>
    </w:p>
    <w:p w:rsidR="001C5DA0" w:rsidRPr="00AB0703" w:rsidRDefault="001C5DA0">
      <w:pPr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>契約者の皆様へ</w:t>
      </w:r>
    </w:p>
    <w:p w:rsidR="001C5DA0" w:rsidRPr="00AB0703" w:rsidRDefault="001C5DA0" w:rsidP="00236B66">
      <w:pPr>
        <w:jc w:val="right"/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>公益財団法人大阪府都市整備推進センター</w:t>
      </w:r>
    </w:p>
    <w:p w:rsidR="001C5DA0" w:rsidRPr="00236B66" w:rsidRDefault="001C5DA0" w:rsidP="00C63A45">
      <w:pPr>
        <w:spacing w:beforeLines="50" w:before="180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236B66">
        <w:rPr>
          <w:rFonts w:asciiTheme="majorEastAsia" w:eastAsiaTheme="majorEastAsia" w:hAnsiTheme="majorEastAsia" w:hint="eastAsia"/>
          <w:b/>
          <w:sz w:val="28"/>
          <w:szCs w:val="28"/>
        </w:rPr>
        <w:t>受入基準改正についての重要なお知らせ</w:t>
      </w:r>
    </w:p>
    <w:p w:rsidR="001C5DA0" w:rsidRPr="00236B66" w:rsidRDefault="001C5DA0" w:rsidP="00236B66">
      <w:pPr>
        <w:spacing w:line="22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D7EC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―</w:t>
      </w:r>
      <w:r w:rsidR="00BD7EC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平成２７年１月から</w:t>
      </w:r>
      <w:r w:rsidRPr="00BD7EC1">
        <w:rPr>
          <w:rFonts w:asciiTheme="majorEastAsia" w:eastAsiaTheme="majorEastAsia" w:hAnsiTheme="majorEastAsia" w:hint="eastAsia"/>
          <w:b/>
          <w:kern w:val="0"/>
          <w:sz w:val="24"/>
          <w:szCs w:val="24"/>
        </w:rPr>
        <w:t>土壌分析項目が追加されます―</w:t>
      </w:r>
    </w:p>
    <w:p w:rsidR="001C5DA0" w:rsidRPr="00AB0703" w:rsidRDefault="001C5DA0">
      <w:pPr>
        <w:rPr>
          <w:sz w:val="24"/>
          <w:szCs w:val="24"/>
        </w:rPr>
      </w:pPr>
    </w:p>
    <w:p w:rsidR="001C5DA0" w:rsidRPr="00AB0703" w:rsidRDefault="001C5DA0">
      <w:pPr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 xml:space="preserve">　阪南２区建設発生土受入基準（化学性状の基準）が</w:t>
      </w:r>
      <w:r w:rsidR="0006378D">
        <w:rPr>
          <w:rFonts w:hint="eastAsia"/>
          <w:sz w:val="24"/>
          <w:szCs w:val="24"/>
        </w:rPr>
        <w:t>改正され、</w:t>
      </w:r>
      <w:r w:rsidRPr="00AB0703">
        <w:rPr>
          <w:rFonts w:hint="eastAsia"/>
          <w:sz w:val="24"/>
          <w:szCs w:val="24"/>
        </w:rPr>
        <w:t>平成２７年１月</w:t>
      </w:r>
      <w:r w:rsidR="00AB4A4F">
        <w:rPr>
          <w:rFonts w:hint="eastAsia"/>
          <w:sz w:val="24"/>
          <w:szCs w:val="24"/>
        </w:rPr>
        <w:t>１日</w:t>
      </w:r>
      <w:r w:rsidR="0006378D">
        <w:rPr>
          <w:rFonts w:hint="eastAsia"/>
          <w:sz w:val="24"/>
          <w:szCs w:val="24"/>
        </w:rPr>
        <w:t>から適用</w:t>
      </w:r>
      <w:r w:rsidRPr="00AB0703">
        <w:rPr>
          <w:rFonts w:hint="eastAsia"/>
          <w:sz w:val="24"/>
          <w:szCs w:val="24"/>
        </w:rPr>
        <w:t>され</w:t>
      </w:r>
      <w:r w:rsidR="00C63A45">
        <w:rPr>
          <w:rFonts w:hint="eastAsia"/>
          <w:sz w:val="24"/>
          <w:szCs w:val="24"/>
        </w:rPr>
        <w:t>る予定であり</w:t>
      </w:r>
      <w:r w:rsidRPr="00AB0703">
        <w:rPr>
          <w:rFonts w:hint="eastAsia"/>
          <w:sz w:val="24"/>
          <w:szCs w:val="24"/>
        </w:rPr>
        <w:t>、</w:t>
      </w:r>
      <w:r w:rsidRPr="002E69B0">
        <w:rPr>
          <w:rFonts w:asciiTheme="majorEastAsia" w:eastAsiaTheme="majorEastAsia" w:hAnsiTheme="majorEastAsia" w:hint="eastAsia"/>
          <w:b/>
          <w:sz w:val="24"/>
          <w:szCs w:val="24"/>
        </w:rPr>
        <w:t>次の２項目が有害物質として</w:t>
      </w:r>
      <w:r w:rsidR="002E69B0" w:rsidRPr="002E69B0">
        <w:rPr>
          <w:rFonts w:asciiTheme="majorEastAsia" w:eastAsiaTheme="majorEastAsia" w:hAnsiTheme="majorEastAsia" w:hint="eastAsia"/>
          <w:b/>
          <w:sz w:val="24"/>
          <w:szCs w:val="24"/>
        </w:rPr>
        <w:t>受入基準</w:t>
      </w:r>
      <w:r w:rsidRPr="002E69B0">
        <w:rPr>
          <w:rFonts w:asciiTheme="majorEastAsia" w:eastAsiaTheme="majorEastAsia" w:hAnsiTheme="majorEastAsia" w:hint="eastAsia"/>
          <w:b/>
          <w:sz w:val="24"/>
          <w:szCs w:val="24"/>
        </w:rPr>
        <w:t>項目に追加</w:t>
      </w:r>
      <w:r w:rsidRPr="00AB0703">
        <w:rPr>
          <w:rFonts w:hint="eastAsia"/>
          <w:sz w:val="24"/>
          <w:szCs w:val="24"/>
        </w:rPr>
        <w:t>されます。</w:t>
      </w:r>
      <w:r w:rsidR="002E69B0" w:rsidRPr="00AB0703">
        <w:rPr>
          <w:rFonts w:hint="eastAsia"/>
          <w:sz w:val="24"/>
          <w:szCs w:val="24"/>
        </w:rPr>
        <w:t>分析結果表（計量証明書）の提出が必要な工事について</w:t>
      </w:r>
      <w:r w:rsidR="002E69B0">
        <w:rPr>
          <w:rFonts w:hint="eastAsia"/>
          <w:sz w:val="24"/>
          <w:szCs w:val="24"/>
        </w:rPr>
        <w:t>は</w:t>
      </w:r>
      <w:r w:rsidR="002E69B0" w:rsidRPr="00AB0703">
        <w:rPr>
          <w:rFonts w:hint="eastAsia"/>
          <w:sz w:val="24"/>
          <w:szCs w:val="24"/>
        </w:rPr>
        <w:t>、</w:t>
      </w:r>
      <w:r w:rsidR="002E69B0">
        <w:rPr>
          <w:rFonts w:hint="eastAsia"/>
          <w:sz w:val="24"/>
          <w:szCs w:val="24"/>
        </w:rPr>
        <w:t>分析機関に分析を依頼される場合に、次のことにご注意ください。</w:t>
      </w:r>
    </w:p>
    <w:p w:rsidR="00C723BF" w:rsidRPr="00AB0703" w:rsidRDefault="00510E7B">
      <w:pPr>
        <w:rPr>
          <w:sz w:val="24"/>
          <w:szCs w:val="24"/>
        </w:rPr>
      </w:pPr>
      <w:r w:rsidRPr="00AB0703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9104" wp14:editId="0C880C5D">
                <wp:simplePos x="0" y="0"/>
                <wp:positionH relativeFrom="column">
                  <wp:posOffset>701599</wp:posOffset>
                </wp:positionH>
                <wp:positionV relativeFrom="paragraph">
                  <wp:posOffset>106502</wp:posOffset>
                </wp:positionV>
                <wp:extent cx="3862426" cy="709575"/>
                <wp:effectExtent l="19050" t="19050" r="2413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2426" cy="7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7B" w:rsidRPr="009B4B6A" w:rsidRDefault="00510E7B" w:rsidP="003351F2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9B4B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【受入基準</w:t>
                            </w:r>
                            <w:r w:rsidRPr="009B4B6A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  <w:t>（溶出量基準）に追加される項目</w:t>
                            </w:r>
                            <w:r w:rsidRPr="009B4B6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  <w:p w:rsidR="00510E7B" w:rsidRPr="009B4B6A" w:rsidRDefault="00510E7B" w:rsidP="003351F2">
                            <w:pPr>
                              <w:spacing w:line="300" w:lineRule="exact"/>
                              <w:ind w:firstLineChars="40" w:firstLine="84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B4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9B4B6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１，４－ジオキサン</w:t>
                            </w:r>
                            <w:r w:rsidR="00C723BF" w:rsidRPr="009B4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Pr="009B4B6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（基準値：０．０５ｍｇ／Ｌ）</w:t>
                            </w:r>
                          </w:p>
                          <w:p w:rsidR="00C723BF" w:rsidRPr="009B4B6A" w:rsidRDefault="00C723BF" w:rsidP="003351F2">
                            <w:pPr>
                              <w:spacing w:line="300" w:lineRule="exact"/>
                              <w:ind w:firstLineChars="135" w:firstLine="285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B4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塩化ビニルモノマー　</w:t>
                            </w:r>
                            <w:r w:rsidRPr="009B4B6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（基準値：０．０</w:t>
                            </w:r>
                            <w:r w:rsidRPr="009B4B6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０２</w:t>
                            </w:r>
                            <w:r w:rsidRPr="009B4B6A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ｍｇ／Ｌ）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091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5.25pt;margin-top:8.4pt;width:304.15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" fillcolor="white [3201]" strokecolor="black [3213]" strokeweight="2.5pt">
                <v:stroke linestyle="thinThin"/>
                <v:textbox>
                  <w:txbxContent>
                    <w:p w:rsidR="00510E7B" w:rsidRPr="009B4B6A" w:rsidRDefault="00510E7B" w:rsidP="003351F2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9B4B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【受入基準</w:t>
                      </w:r>
                      <w:r w:rsidRPr="009B4B6A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  <w:t>（溶出量基準）に追加される項目</w:t>
                      </w:r>
                      <w:r w:rsidRPr="009B4B6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】</w:t>
                      </w:r>
                    </w:p>
                    <w:p w:rsidR="00510E7B" w:rsidRPr="009B4B6A" w:rsidRDefault="00510E7B" w:rsidP="003351F2">
                      <w:pPr>
                        <w:spacing w:line="300" w:lineRule="exact"/>
                        <w:ind w:firstLineChars="40" w:firstLine="84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B4B6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9B4B6A">
                        <w:rPr>
                          <w:rFonts w:asciiTheme="majorEastAsia" w:eastAsiaTheme="majorEastAsia" w:hAnsiTheme="majorEastAsia"/>
                          <w:b/>
                        </w:rPr>
                        <w:t>１，４－ジオキサン</w:t>
                      </w:r>
                      <w:r w:rsidR="00C723BF" w:rsidRPr="009B4B6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Pr="009B4B6A">
                        <w:rPr>
                          <w:rFonts w:asciiTheme="majorEastAsia" w:eastAsiaTheme="majorEastAsia" w:hAnsiTheme="majorEastAsia"/>
                          <w:b/>
                        </w:rPr>
                        <w:t>（基準値：０．０５ｍｇ／Ｌ）</w:t>
                      </w:r>
                    </w:p>
                    <w:p w:rsidR="00C723BF" w:rsidRPr="009B4B6A" w:rsidRDefault="00C723BF" w:rsidP="003351F2">
                      <w:pPr>
                        <w:spacing w:line="300" w:lineRule="exact"/>
                        <w:ind w:firstLineChars="135" w:firstLine="285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B4B6A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塩化ビニルモノマー　</w:t>
                      </w:r>
                      <w:r w:rsidRPr="009B4B6A">
                        <w:rPr>
                          <w:rFonts w:asciiTheme="majorEastAsia" w:eastAsiaTheme="majorEastAsia" w:hAnsiTheme="majorEastAsia"/>
                          <w:b/>
                        </w:rPr>
                        <w:t>（基準値：０．０</w:t>
                      </w:r>
                      <w:r w:rsidRPr="009B4B6A">
                        <w:rPr>
                          <w:rFonts w:asciiTheme="majorEastAsia" w:eastAsiaTheme="majorEastAsia" w:hAnsiTheme="majorEastAsia" w:hint="eastAsia"/>
                          <w:b/>
                        </w:rPr>
                        <w:t>０２</w:t>
                      </w:r>
                      <w:r w:rsidRPr="009B4B6A">
                        <w:rPr>
                          <w:rFonts w:asciiTheme="majorEastAsia" w:eastAsiaTheme="majorEastAsia" w:hAnsiTheme="majorEastAsia"/>
                          <w:b/>
                        </w:rPr>
                        <w:t>ｍｇ／Ｌ）</w:t>
                      </w:r>
                    </w:p>
                  </w:txbxContent>
                </v:textbox>
              </v:shape>
            </w:pict>
          </mc:Fallback>
        </mc:AlternateContent>
      </w:r>
    </w:p>
    <w:p w:rsidR="00C723BF" w:rsidRPr="00AB0703" w:rsidRDefault="00C723BF" w:rsidP="00C723BF">
      <w:pPr>
        <w:rPr>
          <w:sz w:val="24"/>
          <w:szCs w:val="24"/>
        </w:rPr>
      </w:pPr>
    </w:p>
    <w:p w:rsidR="00C723BF" w:rsidRPr="00AB0703" w:rsidRDefault="00C723BF" w:rsidP="00C723BF">
      <w:pPr>
        <w:rPr>
          <w:sz w:val="24"/>
          <w:szCs w:val="24"/>
        </w:rPr>
      </w:pPr>
    </w:p>
    <w:p w:rsidR="00C723BF" w:rsidRPr="00AB0703" w:rsidRDefault="00C723BF" w:rsidP="00C723BF">
      <w:pPr>
        <w:rPr>
          <w:sz w:val="24"/>
          <w:szCs w:val="24"/>
        </w:rPr>
      </w:pPr>
    </w:p>
    <w:p w:rsidR="000B4419" w:rsidRPr="005B4BFA" w:rsidRDefault="000B4419" w:rsidP="000B4419">
      <w:pPr>
        <w:ind w:leftChars="-53" w:hangingChars="46" w:hanging="111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 w:rsidRPr="005B4BF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0637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新受入基準の適用日以降（</w:t>
      </w:r>
      <w:r w:rsidRPr="005B4BF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平成27年1月以降</w:t>
      </w:r>
      <w:r w:rsidR="000637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Pr="005B4BF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に受入契約を締結される場合】</w:t>
      </w:r>
    </w:p>
    <w:p w:rsidR="001C5DA0" w:rsidRPr="00AB0703" w:rsidRDefault="008169C3" w:rsidP="00C723BF">
      <w:pPr>
        <w:ind w:firstLineChars="100" w:firstLine="241"/>
        <w:rPr>
          <w:sz w:val="24"/>
          <w:szCs w:val="24"/>
        </w:rPr>
      </w:pPr>
      <w:r w:rsidRPr="00B21348">
        <w:rPr>
          <w:rFonts w:asciiTheme="majorEastAsia" w:eastAsiaTheme="majorEastAsia" w:hAnsiTheme="majorEastAsia" w:hint="eastAsia"/>
          <w:b/>
          <w:sz w:val="24"/>
          <w:szCs w:val="24"/>
        </w:rPr>
        <w:t>現行の</w:t>
      </w:r>
      <w:r w:rsidR="000B4419">
        <w:rPr>
          <w:rFonts w:asciiTheme="majorEastAsia" w:eastAsiaTheme="majorEastAsia" w:hAnsiTheme="majorEastAsia" w:hint="eastAsia"/>
          <w:b/>
          <w:sz w:val="24"/>
          <w:szCs w:val="24"/>
        </w:rPr>
        <w:t>受入基準</w:t>
      </w:r>
      <w:r w:rsidRPr="00B21348">
        <w:rPr>
          <w:rFonts w:asciiTheme="majorEastAsia" w:eastAsiaTheme="majorEastAsia" w:hAnsiTheme="majorEastAsia" w:hint="eastAsia"/>
          <w:b/>
          <w:sz w:val="24"/>
          <w:szCs w:val="24"/>
        </w:rPr>
        <w:t>項目（３５項目）に加えて、追加２項目を含む分析結果表（計量証明書）の提出が必要</w:t>
      </w:r>
      <w:r w:rsidRPr="00AB0703">
        <w:rPr>
          <w:rFonts w:hint="eastAsia"/>
          <w:sz w:val="24"/>
          <w:szCs w:val="24"/>
        </w:rPr>
        <w:t>となります。</w:t>
      </w:r>
      <w:r w:rsidRPr="00D7598A">
        <w:rPr>
          <w:rFonts w:hint="eastAsia"/>
          <w:sz w:val="24"/>
          <w:szCs w:val="24"/>
          <w:u w:val="wave"/>
        </w:rPr>
        <w:t>追加２項目を含まない分析結果表（計量証明書）を提出されても、追加２項目についての再分析結果を提出していただ</w:t>
      </w:r>
      <w:r w:rsidR="001952F8" w:rsidRPr="00D7598A">
        <w:rPr>
          <w:rFonts w:hint="eastAsia"/>
          <w:sz w:val="24"/>
          <w:szCs w:val="24"/>
          <w:u w:val="wave"/>
        </w:rPr>
        <w:t>かないと契約を締結できませんので</w:t>
      </w:r>
      <w:r w:rsidR="000B4419">
        <w:rPr>
          <w:rFonts w:hint="eastAsia"/>
          <w:sz w:val="24"/>
          <w:szCs w:val="24"/>
          <w:u w:val="wave"/>
        </w:rPr>
        <w:t>くれぐれも</w:t>
      </w:r>
      <w:r w:rsidR="001952F8" w:rsidRPr="00D7598A">
        <w:rPr>
          <w:rFonts w:hint="eastAsia"/>
          <w:sz w:val="24"/>
          <w:szCs w:val="24"/>
          <w:u w:val="wave"/>
        </w:rPr>
        <w:t>ご注意ください。</w:t>
      </w:r>
    </w:p>
    <w:p w:rsidR="000B4419" w:rsidRPr="005B4BFA" w:rsidRDefault="000B4419" w:rsidP="005B4BFA">
      <w:pPr>
        <w:ind w:leftChars="-53" w:hangingChars="46" w:hanging="111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5B4BF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【</w:t>
      </w:r>
      <w:r w:rsidR="000637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新受入基準の適用日まで（</w:t>
      </w:r>
      <w:r w:rsidRPr="005B4BF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平成2６年12月末まで</w:t>
      </w:r>
      <w:r w:rsidR="000637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）</w:t>
      </w:r>
      <w:r w:rsidRPr="005B4BFA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に受入契約を締結される場合】</w:t>
      </w:r>
    </w:p>
    <w:p w:rsidR="001952F8" w:rsidRDefault="00AB0703" w:rsidP="001952F8">
      <w:pPr>
        <w:tabs>
          <w:tab w:val="right" w:pos="9070"/>
        </w:tabs>
        <w:ind w:firstLineChars="100" w:firstLine="240"/>
        <w:rPr>
          <w:sz w:val="24"/>
          <w:szCs w:val="24"/>
        </w:rPr>
      </w:pPr>
      <w:r w:rsidRPr="00AB0703">
        <w:rPr>
          <w:rFonts w:hint="eastAsia"/>
          <w:sz w:val="24"/>
          <w:szCs w:val="24"/>
        </w:rPr>
        <w:t>分析結果表（計量証明書）</w:t>
      </w:r>
      <w:r w:rsidR="00001AA4">
        <w:rPr>
          <w:rFonts w:hint="eastAsia"/>
          <w:sz w:val="24"/>
          <w:szCs w:val="24"/>
        </w:rPr>
        <w:t>に追加２項目が</w:t>
      </w:r>
      <w:r w:rsidR="00001AA4" w:rsidRPr="00AB0703">
        <w:rPr>
          <w:rFonts w:hint="eastAsia"/>
          <w:sz w:val="24"/>
          <w:szCs w:val="24"/>
        </w:rPr>
        <w:t>含ま</w:t>
      </w:r>
      <w:r w:rsidR="00001AA4">
        <w:rPr>
          <w:rFonts w:hint="eastAsia"/>
          <w:sz w:val="24"/>
          <w:szCs w:val="24"/>
        </w:rPr>
        <w:t>れていなくても</w:t>
      </w:r>
      <w:r>
        <w:rPr>
          <w:rFonts w:hint="eastAsia"/>
          <w:sz w:val="24"/>
          <w:szCs w:val="24"/>
        </w:rPr>
        <w:t>契約することができ</w:t>
      </w:r>
      <w:r w:rsidR="000B4419">
        <w:rPr>
          <w:rFonts w:hint="eastAsia"/>
          <w:sz w:val="24"/>
          <w:szCs w:val="24"/>
        </w:rPr>
        <w:t>、</w:t>
      </w:r>
      <w:r w:rsidR="0006378D" w:rsidRPr="0006378D">
        <w:rPr>
          <w:rFonts w:hint="eastAsia"/>
          <w:sz w:val="24"/>
          <w:szCs w:val="24"/>
        </w:rPr>
        <w:t>新受入基準の適用日</w:t>
      </w:r>
      <w:r w:rsidR="0006378D">
        <w:rPr>
          <w:rFonts w:hint="eastAsia"/>
          <w:sz w:val="24"/>
          <w:szCs w:val="24"/>
        </w:rPr>
        <w:t>（</w:t>
      </w:r>
      <w:r w:rsidR="000B4419">
        <w:rPr>
          <w:rFonts w:hint="eastAsia"/>
          <w:sz w:val="24"/>
          <w:szCs w:val="24"/>
        </w:rPr>
        <w:t>平成２７年１月</w:t>
      </w:r>
      <w:r w:rsidR="0006378D">
        <w:rPr>
          <w:rFonts w:hint="eastAsia"/>
          <w:sz w:val="24"/>
          <w:szCs w:val="24"/>
        </w:rPr>
        <w:t>）</w:t>
      </w:r>
      <w:r w:rsidR="000B4419">
        <w:rPr>
          <w:rFonts w:hint="eastAsia"/>
          <w:sz w:val="24"/>
          <w:szCs w:val="24"/>
        </w:rPr>
        <w:t>以降も搬入していただけます。</w:t>
      </w:r>
    </w:p>
    <w:p w:rsidR="004E2657" w:rsidRDefault="004E2657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7598A">
        <w:rPr>
          <w:rFonts w:hint="eastAsia"/>
          <w:sz w:val="24"/>
          <w:szCs w:val="24"/>
        </w:rPr>
        <w:t>この</w:t>
      </w:r>
      <w:r w:rsidR="00E373C9">
        <w:rPr>
          <w:rFonts w:hint="eastAsia"/>
          <w:sz w:val="24"/>
          <w:szCs w:val="24"/>
        </w:rPr>
        <w:t>場合は、建設発生土</w:t>
      </w:r>
      <w:r>
        <w:rPr>
          <w:rFonts w:hint="eastAsia"/>
          <w:sz w:val="24"/>
          <w:szCs w:val="24"/>
        </w:rPr>
        <w:t>搬入申込書</w:t>
      </w:r>
      <w:r w:rsidR="00B53218">
        <w:rPr>
          <w:rFonts w:hint="eastAsia"/>
          <w:sz w:val="24"/>
          <w:szCs w:val="24"/>
        </w:rPr>
        <w:t>及び建設発生土受入契約書</w:t>
      </w:r>
      <w:r>
        <w:rPr>
          <w:rFonts w:hint="eastAsia"/>
          <w:sz w:val="24"/>
          <w:szCs w:val="24"/>
        </w:rPr>
        <w:t>のほか、発注者の搬入依頼書・工事</w:t>
      </w:r>
      <w:r w:rsidR="00084661">
        <w:rPr>
          <w:rFonts w:hint="eastAsia"/>
          <w:sz w:val="24"/>
          <w:szCs w:val="24"/>
        </w:rPr>
        <w:t>請負</w:t>
      </w:r>
      <w:r>
        <w:rPr>
          <w:rFonts w:hint="eastAsia"/>
          <w:sz w:val="24"/>
          <w:szCs w:val="24"/>
        </w:rPr>
        <w:t>契約書の写し・</w:t>
      </w:r>
      <w:r w:rsidRPr="00AB0703">
        <w:rPr>
          <w:rFonts w:hint="eastAsia"/>
          <w:sz w:val="24"/>
          <w:szCs w:val="24"/>
        </w:rPr>
        <w:t>分析結果表（計量証明書）</w:t>
      </w:r>
      <w:r w:rsidR="00D126C2">
        <w:rPr>
          <w:rFonts w:hint="eastAsia"/>
          <w:sz w:val="24"/>
          <w:szCs w:val="24"/>
        </w:rPr>
        <w:t>があれば、</w:t>
      </w:r>
      <w:r w:rsidR="00001AA4">
        <w:rPr>
          <w:rFonts w:hint="eastAsia"/>
          <w:sz w:val="24"/>
          <w:szCs w:val="24"/>
        </w:rPr>
        <w:t>搬入開始予定日までに期間が</w:t>
      </w:r>
      <w:r w:rsidR="009B4B6A">
        <w:rPr>
          <w:rFonts w:hint="eastAsia"/>
          <w:sz w:val="24"/>
          <w:szCs w:val="24"/>
        </w:rPr>
        <w:t>あっても</w:t>
      </w:r>
      <w:r w:rsidR="00E373C9">
        <w:rPr>
          <w:rFonts w:hint="eastAsia"/>
          <w:sz w:val="24"/>
          <w:szCs w:val="24"/>
        </w:rPr>
        <w:t>契約する</w:t>
      </w:r>
      <w:r w:rsidR="00D126C2">
        <w:rPr>
          <w:rFonts w:hint="eastAsia"/>
          <w:sz w:val="24"/>
          <w:szCs w:val="24"/>
        </w:rPr>
        <w:t>こと</w:t>
      </w:r>
      <w:r w:rsidR="002B3F38">
        <w:rPr>
          <w:rFonts w:hint="eastAsia"/>
          <w:sz w:val="24"/>
          <w:szCs w:val="24"/>
        </w:rPr>
        <w:t>とします</w:t>
      </w:r>
      <w:r w:rsidR="00236B66">
        <w:rPr>
          <w:rFonts w:hint="eastAsia"/>
          <w:sz w:val="24"/>
          <w:szCs w:val="24"/>
        </w:rPr>
        <w:t>。</w:t>
      </w:r>
      <w:r w:rsidR="00D7598A">
        <w:rPr>
          <w:rFonts w:hint="eastAsia"/>
          <w:sz w:val="24"/>
          <w:szCs w:val="24"/>
        </w:rPr>
        <w:t>（搬入車両届等は</w:t>
      </w:r>
      <w:r w:rsidR="00001AA4">
        <w:rPr>
          <w:rFonts w:hint="eastAsia"/>
          <w:sz w:val="24"/>
          <w:szCs w:val="24"/>
        </w:rPr>
        <w:t xml:space="preserve">後日提出してください。）　</w:t>
      </w:r>
      <w:r w:rsidR="00236B66">
        <w:rPr>
          <w:rFonts w:hint="eastAsia"/>
          <w:sz w:val="24"/>
          <w:szCs w:val="24"/>
        </w:rPr>
        <w:t>詳しくは</w:t>
      </w:r>
      <w:r w:rsidR="009B4B6A">
        <w:rPr>
          <w:rFonts w:hint="eastAsia"/>
          <w:sz w:val="24"/>
          <w:szCs w:val="24"/>
        </w:rPr>
        <w:t>契約</w:t>
      </w:r>
      <w:r w:rsidR="00D126C2">
        <w:rPr>
          <w:rFonts w:hint="eastAsia"/>
          <w:sz w:val="24"/>
          <w:szCs w:val="24"/>
        </w:rPr>
        <w:t>窓口にご相談ください。</w:t>
      </w:r>
    </w:p>
    <w:p w:rsidR="00B53218" w:rsidRDefault="00B53218" w:rsidP="00B5321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06378D" w:rsidRPr="0006378D">
        <w:rPr>
          <w:rFonts w:hint="eastAsia"/>
          <w:sz w:val="24"/>
          <w:szCs w:val="24"/>
        </w:rPr>
        <w:t>新受入基準適用</w:t>
      </w:r>
      <w:r w:rsidRPr="009B4B6A">
        <w:rPr>
          <w:sz w:val="24"/>
          <w:szCs w:val="24"/>
        </w:rPr>
        <w:t>の６</w:t>
      </w:r>
      <w:r>
        <w:rPr>
          <w:rFonts w:hint="eastAsia"/>
          <w:sz w:val="24"/>
          <w:szCs w:val="24"/>
        </w:rPr>
        <w:t>か</w:t>
      </w:r>
      <w:r w:rsidRPr="009B4B6A">
        <w:rPr>
          <w:sz w:val="24"/>
          <w:szCs w:val="24"/>
        </w:rPr>
        <w:t>月後（平成２７年７月</w:t>
      </w:r>
      <w:r>
        <w:rPr>
          <w:rFonts w:hint="eastAsia"/>
          <w:sz w:val="24"/>
          <w:szCs w:val="24"/>
        </w:rPr>
        <w:t>１日</w:t>
      </w:r>
      <w:r w:rsidRPr="009B4B6A">
        <w:rPr>
          <w:sz w:val="24"/>
          <w:szCs w:val="24"/>
        </w:rPr>
        <w:t>以降</w:t>
      </w:r>
      <w:r w:rsidRPr="009B4B6A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も</w:t>
      </w:r>
      <w:r w:rsidR="003351F2">
        <w:rPr>
          <w:rFonts w:hint="eastAsia"/>
          <w:sz w:val="24"/>
          <w:szCs w:val="24"/>
        </w:rPr>
        <w:t>引き続き</w:t>
      </w:r>
      <w:r w:rsidRPr="009B4B6A">
        <w:rPr>
          <w:sz w:val="24"/>
          <w:szCs w:val="24"/>
        </w:rPr>
        <w:t>搬入</w:t>
      </w:r>
      <w:r>
        <w:rPr>
          <w:rFonts w:hint="eastAsia"/>
          <w:sz w:val="24"/>
          <w:szCs w:val="24"/>
        </w:rPr>
        <w:t>される</w:t>
      </w:r>
      <w:r w:rsidRPr="009B4B6A">
        <w:rPr>
          <w:sz w:val="24"/>
          <w:szCs w:val="24"/>
        </w:rPr>
        <w:t>場合は、平成２７</w:t>
      </w:r>
      <w:r w:rsidRPr="009B4B6A">
        <w:rPr>
          <w:rFonts w:hint="eastAsia"/>
          <w:sz w:val="24"/>
          <w:szCs w:val="24"/>
        </w:rPr>
        <w:t>年</w:t>
      </w:r>
      <w:r w:rsidRPr="009B4B6A">
        <w:rPr>
          <w:sz w:val="24"/>
          <w:szCs w:val="24"/>
        </w:rPr>
        <w:t>６</w:t>
      </w:r>
      <w:r w:rsidRPr="009B4B6A">
        <w:rPr>
          <w:rFonts w:hint="eastAsia"/>
          <w:sz w:val="24"/>
          <w:szCs w:val="24"/>
        </w:rPr>
        <w:t>月</w:t>
      </w:r>
      <w:r w:rsidRPr="009B4B6A">
        <w:rPr>
          <w:sz w:val="24"/>
          <w:szCs w:val="24"/>
        </w:rPr>
        <w:t>末まで</w:t>
      </w:r>
      <w:r>
        <w:t>に</w:t>
      </w:r>
      <w:r w:rsidRPr="00AB0703">
        <w:rPr>
          <w:rFonts w:hint="eastAsia"/>
          <w:sz w:val="24"/>
          <w:szCs w:val="24"/>
        </w:rPr>
        <w:t>追加２項目について</w:t>
      </w:r>
      <w:r>
        <w:rPr>
          <w:rFonts w:hint="eastAsia"/>
          <w:sz w:val="24"/>
          <w:szCs w:val="24"/>
        </w:rPr>
        <w:t>分析し、</w:t>
      </w:r>
      <w:r>
        <w:rPr>
          <w:sz w:val="24"/>
          <w:szCs w:val="24"/>
        </w:rPr>
        <w:t>その</w:t>
      </w:r>
      <w:r w:rsidRPr="00AB0703">
        <w:rPr>
          <w:rFonts w:hint="eastAsia"/>
          <w:sz w:val="24"/>
          <w:szCs w:val="24"/>
        </w:rPr>
        <w:t>分析結果表（計量証明書）</w:t>
      </w:r>
      <w:r>
        <w:rPr>
          <w:rFonts w:hint="eastAsia"/>
          <w:sz w:val="24"/>
          <w:szCs w:val="24"/>
        </w:rPr>
        <w:t>を提出</w:t>
      </w:r>
      <w:r>
        <w:rPr>
          <w:sz w:val="24"/>
          <w:szCs w:val="24"/>
        </w:rPr>
        <w:t>してください。</w:t>
      </w:r>
      <w:r>
        <w:rPr>
          <w:rFonts w:hint="eastAsia"/>
          <w:sz w:val="24"/>
          <w:szCs w:val="24"/>
        </w:rPr>
        <w:t>（試験頻度</w:t>
      </w:r>
      <w:r>
        <w:rPr>
          <w:sz w:val="24"/>
          <w:szCs w:val="24"/>
        </w:rPr>
        <w:t>等は受入基準</w:t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定めるところによります。）</w:t>
      </w:r>
    </w:p>
    <w:p w:rsidR="00B53218" w:rsidRPr="00D84DA6" w:rsidRDefault="00B53218" w:rsidP="00D84DA6">
      <w:pPr>
        <w:ind w:leftChars="127" w:left="531" w:hangingChars="110" w:hanging="26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D84DA6">
        <w:rPr>
          <w:rFonts w:hint="eastAsia"/>
          <w:sz w:val="24"/>
          <w:szCs w:val="24"/>
        </w:rPr>
        <w:t>現在、</w:t>
      </w:r>
      <w:r w:rsidR="00D84DA6" w:rsidRPr="00D84DA6">
        <w:rPr>
          <w:rFonts w:hint="eastAsia"/>
          <w:sz w:val="24"/>
          <w:szCs w:val="24"/>
        </w:rPr>
        <w:t>既に締結済み</w:t>
      </w:r>
      <w:r w:rsidR="00D84DA6">
        <w:rPr>
          <w:rFonts w:hint="eastAsia"/>
          <w:sz w:val="24"/>
          <w:szCs w:val="24"/>
        </w:rPr>
        <w:t>の</w:t>
      </w:r>
      <w:r w:rsidR="00D84DA6" w:rsidRPr="00D84DA6">
        <w:rPr>
          <w:rFonts w:hint="eastAsia"/>
          <w:sz w:val="24"/>
          <w:szCs w:val="24"/>
        </w:rPr>
        <w:t>受入契約</w:t>
      </w:r>
      <w:r w:rsidR="00D84DA6">
        <w:rPr>
          <w:rFonts w:hint="eastAsia"/>
          <w:sz w:val="24"/>
          <w:szCs w:val="24"/>
        </w:rPr>
        <w:t>に基づき</w:t>
      </w:r>
      <w:r w:rsidR="00D84DA6" w:rsidRPr="00D84DA6">
        <w:rPr>
          <w:rFonts w:hint="eastAsia"/>
          <w:sz w:val="24"/>
          <w:szCs w:val="24"/>
        </w:rPr>
        <w:t>、</w:t>
      </w:r>
      <w:r w:rsidR="00D84DA6" w:rsidRPr="00D84DA6">
        <w:rPr>
          <w:sz w:val="24"/>
          <w:szCs w:val="24"/>
        </w:rPr>
        <w:t>平成２７年７月</w:t>
      </w:r>
      <w:r w:rsidR="003351F2">
        <w:rPr>
          <w:rFonts w:hint="eastAsia"/>
          <w:sz w:val="24"/>
          <w:szCs w:val="24"/>
        </w:rPr>
        <w:t>１</w:t>
      </w:r>
      <w:r w:rsidR="00D84DA6">
        <w:rPr>
          <w:rFonts w:hint="eastAsia"/>
          <w:sz w:val="24"/>
          <w:szCs w:val="24"/>
        </w:rPr>
        <w:t>日</w:t>
      </w:r>
      <w:r w:rsidR="00D84DA6" w:rsidRPr="00D84DA6">
        <w:rPr>
          <w:sz w:val="24"/>
          <w:szCs w:val="24"/>
        </w:rPr>
        <w:t>以降</w:t>
      </w:r>
      <w:r w:rsidR="00D84DA6" w:rsidRPr="00D84DA6">
        <w:rPr>
          <w:rFonts w:hint="eastAsia"/>
          <w:sz w:val="24"/>
          <w:szCs w:val="24"/>
        </w:rPr>
        <w:t>も</w:t>
      </w:r>
      <w:r w:rsidR="003351F2">
        <w:rPr>
          <w:rFonts w:hint="eastAsia"/>
          <w:sz w:val="24"/>
          <w:szCs w:val="24"/>
        </w:rPr>
        <w:t>引き続き</w:t>
      </w:r>
      <w:r w:rsidR="00D84DA6" w:rsidRPr="00D84DA6">
        <w:rPr>
          <w:sz w:val="24"/>
          <w:szCs w:val="24"/>
        </w:rPr>
        <w:t>搬入</w:t>
      </w:r>
      <w:r w:rsidR="00D84DA6" w:rsidRPr="00D84DA6">
        <w:rPr>
          <w:rFonts w:hint="eastAsia"/>
          <w:sz w:val="24"/>
          <w:szCs w:val="24"/>
        </w:rPr>
        <w:t>される</w:t>
      </w:r>
      <w:r w:rsidR="00D84DA6" w:rsidRPr="00D84DA6">
        <w:rPr>
          <w:sz w:val="24"/>
          <w:szCs w:val="24"/>
        </w:rPr>
        <w:t>場合</w:t>
      </w:r>
      <w:r w:rsidR="003351F2">
        <w:rPr>
          <w:rFonts w:hint="eastAsia"/>
          <w:sz w:val="24"/>
          <w:szCs w:val="24"/>
        </w:rPr>
        <w:t>も</w:t>
      </w:r>
      <w:r w:rsidR="00D84DA6">
        <w:rPr>
          <w:rFonts w:hint="eastAsia"/>
          <w:sz w:val="24"/>
          <w:szCs w:val="24"/>
        </w:rPr>
        <w:t>同様に</w:t>
      </w:r>
      <w:r w:rsidR="003351F2" w:rsidRPr="009B4B6A">
        <w:rPr>
          <w:sz w:val="24"/>
          <w:szCs w:val="24"/>
        </w:rPr>
        <w:t>平成２７</w:t>
      </w:r>
      <w:r w:rsidR="003351F2" w:rsidRPr="009B4B6A">
        <w:rPr>
          <w:rFonts w:hint="eastAsia"/>
          <w:sz w:val="24"/>
          <w:szCs w:val="24"/>
        </w:rPr>
        <w:t>年</w:t>
      </w:r>
      <w:r w:rsidR="003351F2" w:rsidRPr="009B4B6A">
        <w:rPr>
          <w:sz w:val="24"/>
          <w:szCs w:val="24"/>
        </w:rPr>
        <w:t>６</w:t>
      </w:r>
      <w:r w:rsidR="003351F2" w:rsidRPr="009B4B6A">
        <w:rPr>
          <w:rFonts w:hint="eastAsia"/>
          <w:sz w:val="24"/>
          <w:szCs w:val="24"/>
        </w:rPr>
        <w:t>月</w:t>
      </w:r>
      <w:r w:rsidR="003351F2" w:rsidRPr="009B4B6A">
        <w:rPr>
          <w:sz w:val="24"/>
          <w:szCs w:val="24"/>
        </w:rPr>
        <w:t>末まで</w:t>
      </w:r>
      <w:r w:rsidR="003351F2">
        <w:t>に</w:t>
      </w:r>
      <w:r w:rsidR="00D84DA6" w:rsidRPr="00D84DA6">
        <w:rPr>
          <w:rFonts w:hint="eastAsia"/>
          <w:sz w:val="24"/>
          <w:szCs w:val="24"/>
        </w:rPr>
        <w:t>追加２項目につ</w:t>
      </w:r>
      <w:bookmarkStart w:id="0" w:name="_GoBack"/>
      <w:bookmarkEnd w:id="0"/>
      <w:r w:rsidR="00D84DA6" w:rsidRPr="00D84DA6">
        <w:rPr>
          <w:rFonts w:hint="eastAsia"/>
          <w:sz w:val="24"/>
          <w:szCs w:val="24"/>
        </w:rPr>
        <w:t>いて分析し、</w:t>
      </w:r>
      <w:r w:rsidR="00D84DA6" w:rsidRPr="00D84DA6">
        <w:rPr>
          <w:sz w:val="24"/>
          <w:szCs w:val="24"/>
        </w:rPr>
        <w:t>その</w:t>
      </w:r>
      <w:r w:rsidR="00D84DA6" w:rsidRPr="00D84DA6">
        <w:rPr>
          <w:rFonts w:hint="eastAsia"/>
          <w:sz w:val="24"/>
          <w:szCs w:val="24"/>
        </w:rPr>
        <w:t>分析結果表（計量証明書）を提出</w:t>
      </w:r>
      <w:r w:rsidR="00D84DA6" w:rsidRPr="00D84DA6">
        <w:rPr>
          <w:sz w:val="24"/>
          <w:szCs w:val="24"/>
        </w:rPr>
        <w:t>してください。</w:t>
      </w:r>
    </w:p>
    <w:p w:rsidR="00544C9C" w:rsidRDefault="00A24B66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3B08DB" wp14:editId="1CCF97F9">
                <wp:simplePos x="0" y="0"/>
                <wp:positionH relativeFrom="column">
                  <wp:posOffset>13970</wp:posOffset>
                </wp:positionH>
                <wp:positionV relativeFrom="paragraph">
                  <wp:posOffset>141328</wp:posOffset>
                </wp:positionV>
                <wp:extent cx="5772150" cy="1836751"/>
                <wp:effectExtent l="0" t="0" r="19050" b="1143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2150" cy="1836751"/>
                        </a:xfrm>
                        <a:prstGeom prst="bracketPair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4F8D1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.1pt;margin-top:11.15pt;width:454.5pt;height:14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" strokecolor="#5b9bd5 [3204]" strokeweight="1.5pt">
                <v:stroke joinstyle="miter"/>
              </v:shape>
            </w:pict>
          </mc:Fallback>
        </mc:AlternateContent>
      </w:r>
      <w:r w:rsidR="00561C6E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33A6C5" wp14:editId="7C91C90D">
                <wp:simplePos x="0" y="0"/>
                <wp:positionH relativeFrom="column">
                  <wp:posOffset>244558</wp:posOffset>
                </wp:positionH>
                <wp:positionV relativeFrom="paragraph">
                  <wp:posOffset>85670</wp:posOffset>
                </wp:positionV>
                <wp:extent cx="5255812" cy="1812897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5812" cy="1812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C6E" w:rsidRPr="00A24B66" w:rsidRDefault="00236B66" w:rsidP="00A24B6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阪南２区の</w:t>
                            </w:r>
                            <w:r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受入基準</w:t>
                            </w:r>
                            <w:r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は、</w:t>
                            </w:r>
                            <w:r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国</w:t>
                            </w:r>
                            <w:r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が</w:t>
                            </w:r>
                            <w:r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定める土壌環境基準等を根拠として設定しており、このたび国が土壌環境基準項目に２項目を追加</w:t>
                            </w:r>
                            <w:r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することから、</w:t>
                            </w:r>
                            <w:r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阪南２区受入基準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改正</w:t>
                            </w:r>
                            <w:r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するものです。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環境省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では、土壌環境基準の</w:t>
                            </w:r>
                            <w:r w:rsidR="00D17DCD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見直し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について意見募集（パブリックコメント）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実施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して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い</w:t>
                            </w:r>
                            <w:r w:rsidR="00780FBB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ます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（H26.9.</w:t>
                            </w:r>
                            <w:r w:rsidR="00B66F5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16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～10.</w:t>
                            </w:r>
                            <w:r w:rsidR="00B66F54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20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）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。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追加２項目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分析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方法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など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については、</w:t>
                            </w:r>
                            <w:r w:rsidR="00FB7E91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環境省</w:t>
                            </w:r>
                            <w:r w:rsidR="00FB7E91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パブリックコメント</w:t>
                            </w:r>
                            <w:r w:rsidR="00561C6E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のお知らせからご確認</w:t>
                            </w:r>
                            <w:r w:rsidR="00790B10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ください。</w:t>
                            </w:r>
                          </w:p>
                          <w:p w:rsidR="00790B10" w:rsidRPr="00A24B66" w:rsidRDefault="00790B10" w:rsidP="00A24B66">
                            <w:pPr>
                              <w:spacing w:line="300" w:lineRule="exact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A24B66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hyperlink r:id="rId6" w:history="1">
                              <w:r w:rsidR="00EC57FC" w:rsidRPr="00066182">
                                <w:rPr>
                                  <w:rStyle w:val="a5"/>
                                </w:rPr>
                                <w:t>http://www.env.go.jp/press/press.php?serial=18635</w:t>
                              </w:r>
                            </w:hyperlink>
                            <w:r w:rsidRPr="00A24B66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D17DCD" w:rsidRPr="00A24B66" w:rsidRDefault="00D17DCD" w:rsidP="00A24B66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土壌</w:t>
                            </w:r>
                            <w:r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環境基準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を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改正する告示の公布はパブリックコメント実施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後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となりま</w:t>
                            </w:r>
                            <w:r w:rsidR="00EC5909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すが、</w:t>
                            </w:r>
                            <w:r w:rsidR="00AB4A4F" w:rsidRPr="00A24B6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この告示の公布が、平成２７年１月１日より遅くなる場合は、それに合わせて新受入基準の適用日を延期します。</w:t>
                            </w:r>
                          </w:p>
                          <w:p w:rsidR="00236B66" w:rsidRDefault="00236B66" w:rsidP="00790B10">
                            <w:pPr>
                              <w:ind w:firstLineChars="100" w:firstLine="210"/>
                            </w:pPr>
                          </w:p>
                          <w:p w:rsidR="00790B10" w:rsidRPr="00790B10" w:rsidRDefault="00790B10" w:rsidP="00790B10">
                            <w:pPr>
                              <w:ind w:firstLineChars="100" w:firstLine="210"/>
                            </w:pPr>
                          </w:p>
                          <w:p w:rsidR="00236B66" w:rsidRPr="00236B66" w:rsidRDefault="00236B66"/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A6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19.25pt;margin-top:6.75pt;width:413.85pt;height:1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" fillcolor="white [3201]" stroked="f" strokeweight=".5pt">
                <v:textbox inset="0,,0">
                  <w:txbxContent>
                    <w:p w:rsidR="00561C6E" w:rsidRPr="00A24B66" w:rsidRDefault="00236B66" w:rsidP="00A24B66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阪南２区の</w:t>
                      </w:r>
                      <w:r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受入基準</w:t>
                      </w:r>
                      <w:r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は、</w:t>
                      </w:r>
                      <w:r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国</w:t>
                      </w:r>
                      <w:r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が</w:t>
                      </w:r>
                      <w:r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定める土壌環境基準等を根拠として設定しており、このたび国が土壌環境基準項目に２項目を追加</w:t>
                      </w:r>
                      <w:r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することから、</w:t>
                      </w:r>
                      <w:r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阪南２区受入基準</w:t>
                      </w:r>
                      <w:r w:rsidR="00790B10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改正</w:t>
                      </w:r>
                      <w:r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するものです。</w:t>
                      </w:r>
                      <w:r w:rsidR="00790B10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環境省</w:t>
                      </w:r>
                      <w:r w:rsidR="00790B10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では、土壌環境基準の</w:t>
                      </w:r>
                      <w:r w:rsidR="00D17DCD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見直し</w:t>
                      </w:r>
                      <w:r w:rsidR="00790B10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について意見募集（パブリックコメント）</w:t>
                      </w:r>
                      <w:r w:rsidR="00790B10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790B10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実施</w:t>
                      </w:r>
                      <w:r w:rsidR="00790B10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して</w:t>
                      </w:r>
                      <w:r w:rsidR="00561C6E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い</w:t>
                      </w:r>
                      <w:r w:rsidR="00780FBB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ます</w:t>
                      </w:r>
                      <w:r w:rsidR="00EC5909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（H26.9.</w:t>
                      </w:r>
                      <w:r w:rsidR="00B66F54">
                        <w:rPr>
                          <w:rFonts w:asciiTheme="majorEastAsia" w:eastAsiaTheme="majorEastAsia" w:hAnsiTheme="majorEastAsia"/>
                          <w:sz w:val="22"/>
                        </w:rPr>
                        <w:t>16</w:t>
                      </w:r>
                      <w:r w:rsidR="00EC5909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～10.</w:t>
                      </w:r>
                      <w:r w:rsidR="00B66F54">
                        <w:rPr>
                          <w:rFonts w:asciiTheme="majorEastAsia" w:eastAsiaTheme="majorEastAsia" w:hAnsiTheme="majorEastAsia"/>
                          <w:sz w:val="22"/>
                        </w:rPr>
                        <w:t>20</w:t>
                      </w:r>
                      <w:r w:rsidR="00EC5909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）</w:t>
                      </w:r>
                      <w:r w:rsidR="00561C6E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。</w:t>
                      </w:r>
                      <w:r w:rsidR="00790B10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追加２項目</w:t>
                      </w:r>
                      <w:r w:rsidR="00561C6E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561C6E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分析</w:t>
                      </w:r>
                      <w:r w:rsidR="00561C6E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方法</w:t>
                      </w:r>
                      <w:r w:rsidR="00561C6E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など</w:t>
                      </w:r>
                      <w:r w:rsidR="00790B10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については、</w:t>
                      </w:r>
                      <w:r w:rsidR="00FB7E91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環境省</w:t>
                      </w:r>
                      <w:r w:rsidR="00FB7E91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の</w:t>
                      </w:r>
                      <w:r w:rsidR="00561C6E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パブリックコメント</w:t>
                      </w:r>
                      <w:r w:rsidR="00561C6E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のお知らせからご確認</w:t>
                      </w:r>
                      <w:r w:rsidR="00790B10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ください。</w:t>
                      </w:r>
                    </w:p>
                    <w:p w:rsidR="00790B10" w:rsidRPr="00A24B66" w:rsidRDefault="00790B10" w:rsidP="00A24B66">
                      <w:pPr>
                        <w:spacing w:line="300" w:lineRule="exact"/>
                        <w:ind w:firstLineChars="100" w:firstLine="220"/>
                        <w:rPr>
                          <w:sz w:val="22"/>
                        </w:rPr>
                      </w:pPr>
                      <w:r w:rsidRPr="00A24B66">
                        <w:rPr>
                          <w:rFonts w:hint="eastAsia"/>
                          <w:sz w:val="22"/>
                        </w:rPr>
                        <w:t>（</w:t>
                      </w:r>
                      <w:hyperlink r:id="rId7" w:history="1">
                        <w:r w:rsidR="00EC57FC" w:rsidRPr="00066182">
                          <w:rPr>
                            <w:rStyle w:val="a5"/>
                          </w:rPr>
                          <w:t>http://www.env.go.jp/press/press.php?serial=18635</w:t>
                        </w:r>
                      </w:hyperlink>
                      <w:r w:rsidRPr="00A24B66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D17DCD" w:rsidRPr="00A24B66" w:rsidRDefault="00D17DCD" w:rsidP="00A24B66">
                      <w:pPr>
                        <w:spacing w:line="300" w:lineRule="exact"/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土壌</w:t>
                      </w:r>
                      <w:r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環境基準</w:t>
                      </w:r>
                      <w:r w:rsidR="00EC5909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を</w:t>
                      </w:r>
                      <w:r w:rsidR="00EC5909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改正する告示の公布はパブリックコメント実施</w:t>
                      </w:r>
                      <w:r w:rsidR="00EC5909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後</w:t>
                      </w:r>
                      <w:r w:rsidR="00EC5909" w:rsidRPr="00A24B66">
                        <w:rPr>
                          <w:rFonts w:asciiTheme="majorEastAsia" w:eastAsiaTheme="majorEastAsia" w:hAnsiTheme="majorEastAsia"/>
                          <w:sz w:val="22"/>
                        </w:rPr>
                        <w:t>となりま</w:t>
                      </w:r>
                      <w:r w:rsidR="00EC5909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すが、</w:t>
                      </w:r>
                      <w:r w:rsidR="00AB4A4F" w:rsidRPr="00A24B6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この告示の公布が、平成２７年１月１日より遅くなる場合は、それに合わせて新受入基準の適用日を延期します。</w:t>
                      </w:r>
                    </w:p>
                    <w:p w:rsidR="00236B66" w:rsidRDefault="00236B66" w:rsidP="00790B10">
                      <w:pPr>
                        <w:ind w:firstLineChars="100" w:firstLine="210"/>
                      </w:pPr>
                    </w:p>
                    <w:p w:rsidR="00790B10" w:rsidRPr="00790B10" w:rsidRDefault="00790B10" w:rsidP="00790B10">
                      <w:pPr>
                        <w:ind w:firstLineChars="100" w:firstLine="210"/>
                      </w:pPr>
                    </w:p>
                    <w:p w:rsidR="00236B66" w:rsidRPr="00236B66" w:rsidRDefault="00236B66"/>
                  </w:txbxContent>
                </v:textbox>
              </v:shape>
            </w:pict>
          </mc:Fallback>
        </mc:AlternateContent>
      </w:r>
    </w:p>
    <w:p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:rsidR="00544C9C" w:rsidRDefault="00544C9C" w:rsidP="004E2657">
      <w:pPr>
        <w:tabs>
          <w:tab w:val="right" w:pos="9070"/>
        </w:tabs>
        <w:ind w:leftChars="115" w:left="462" w:hangingChars="92" w:hanging="221"/>
        <w:rPr>
          <w:sz w:val="24"/>
          <w:szCs w:val="24"/>
        </w:rPr>
      </w:pPr>
    </w:p>
    <w:p w:rsidR="00D17DCD" w:rsidRDefault="00D17DCD" w:rsidP="0059386A">
      <w:pPr>
        <w:tabs>
          <w:tab w:val="right" w:pos="9070"/>
        </w:tabs>
        <w:ind w:leftChars="-20" w:left="-42"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</w:p>
    <w:p w:rsidR="00A24B66" w:rsidRDefault="00A24B66" w:rsidP="00A24B66">
      <w:pPr>
        <w:tabs>
          <w:tab w:val="right" w:pos="9070"/>
        </w:tabs>
        <w:ind w:leftChars="-20" w:left="-42"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</w:p>
    <w:p w:rsidR="00A24B66" w:rsidRDefault="00A24B66" w:rsidP="00A24B66">
      <w:pPr>
        <w:tabs>
          <w:tab w:val="right" w:pos="9070"/>
        </w:tabs>
        <w:ind w:leftChars="-20" w:left="-42"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</w:p>
    <w:p w:rsidR="00A24B66" w:rsidRDefault="00A24B66" w:rsidP="00A24B66">
      <w:pPr>
        <w:tabs>
          <w:tab w:val="right" w:pos="9070"/>
        </w:tabs>
        <w:ind w:leftChars="-20" w:left="-42" w:firstLineChars="117" w:firstLine="282"/>
        <w:rPr>
          <w:rFonts w:asciiTheme="majorEastAsia" w:eastAsiaTheme="majorEastAsia" w:hAnsiTheme="majorEastAsia"/>
          <w:b/>
          <w:sz w:val="24"/>
          <w:szCs w:val="24"/>
        </w:rPr>
      </w:pPr>
    </w:p>
    <w:p w:rsidR="00544C9C" w:rsidRPr="004E2657" w:rsidRDefault="00544C9C" w:rsidP="00A24B66">
      <w:pPr>
        <w:tabs>
          <w:tab w:val="right" w:pos="9070"/>
        </w:tabs>
        <w:ind w:leftChars="-20" w:left="-42" w:firstLineChars="117" w:firstLine="282"/>
        <w:rPr>
          <w:sz w:val="24"/>
          <w:szCs w:val="24"/>
        </w:rPr>
      </w:pPr>
      <w:r w:rsidRPr="0059386A">
        <w:rPr>
          <w:rFonts w:asciiTheme="majorEastAsia" w:eastAsiaTheme="majorEastAsia" w:hAnsiTheme="majorEastAsia" w:hint="eastAsia"/>
          <w:b/>
          <w:sz w:val="24"/>
          <w:szCs w:val="24"/>
        </w:rPr>
        <w:t>分析結果表（計量証明書）に追加２項目が含まれていないために、阪南２区</w:t>
      </w:r>
      <w:r w:rsidR="0059386A" w:rsidRPr="0059386A">
        <w:rPr>
          <w:rFonts w:asciiTheme="majorEastAsia" w:eastAsiaTheme="majorEastAsia" w:hAnsiTheme="majorEastAsia" w:hint="eastAsia"/>
          <w:b/>
          <w:sz w:val="24"/>
          <w:szCs w:val="24"/>
        </w:rPr>
        <w:t>へ</w:t>
      </w:r>
      <w:r w:rsidR="00D21C75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59386A">
        <w:rPr>
          <w:rFonts w:asciiTheme="majorEastAsia" w:eastAsiaTheme="majorEastAsia" w:hAnsiTheme="majorEastAsia" w:hint="eastAsia"/>
          <w:b/>
          <w:sz w:val="24"/>
          <w:szCs w:val="24"/>
        </w:rPr>
        <w:t>搬入</w:t>
      </w:r>
      <w:r w:rsidR="0059386A" w:rsidRPr="0059386A">
        <w:rPr>
          <w:rFonts w:asciiTheme="majorEastAsia" w:eastAsiaTheme="majorEastAsia" w:hAnsiTheme="majorEastAsia" w:hint="eastAsia"/>
          <w:b/>
          <w:sz w:val="24"/>
          <w:szCs w:val="24"/>
        </w:rPr>
        <w:t>が遅延し</w:t>
      </w:r>
      <w:r w:rsidRPr="0059386A">
        <w:rPr>
          <w:rFonts w:asciiTheme="majorEastAsia" w:eastAsiaTheme="majorEastAsia" w:hAnsiTheme="majorEastAsia" w:hint="eastAsia"/>
          <w:b/>
          <w:sz w:val="24"/>
          <w:szCs w:val="24"/>
        </w:rPr>
        <w:t>、工事の中断等を招くこと</w:t>
      </w:r>
      <w:r w:rsidR="0059386A" w:rsidRPr="0059386A">
        <w:rPr>
          <w:rFonts w:asciiTheme="majorEastAsia" w:eastAsiaTheme="majorEastAsia" w:hAnsiTheme="majorEastAsia" w:hint="eastAsia"/>
          <w:b/>
          <w:sz w:val="24"/>
          <w:szCs w:val="24"/>
        </w:rPr>
        <w:t>と</w:t>
      </w:r>
      <w:r w:rsidRPr="0059386A">
        <w:rPr>
          <w:rFonts w:asciiTheme="majorEastAsia" w:eastAsiaTheme="majorEastAsia" w:hAnsiTheme="majorEastAsia" w:hint="eastAsia"/>
          <w:b/>
          <w:sz w:val="24"/>
          <w:szCs w:val="24"/>
        </w:rPr>
        <w:t>ならないよう十分ご注意ください</w:t>
      </w:r>
      <w:r>
        <w:rPr>
          <w:rFonts w:hint="eastAsia"/>
          <w:sz w:val="24"/>
          <w:szCs w:val="24"/>
        </w:rPr>
        <w:t>。</w:t>
      </w:r>
    </w:p>
    <w:sectPr w:rsidR="00544C9C" w:rsidRPr="004E2657" w:rsidSect="0059386A">
      <w:pgSz w:w="11906" w:h="16838" w:code="9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CF9" w:rsidRDefault="005B6CF9" w:rsidP="00790B10">
      <w:r>
        <w:separator/>
      </w:r>
    </w:p>
  </w:endnote>
  <w:endnote w:type="continuationSeparator" w:id="0">
    <w:p w:rsidR="005B6CF9" w:rsidRDefault="005B6CF9" w:rsidP="0079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CF9" w:rsidRDefault="005B6CF9" w:rsidP="00790B10">
      <w:r>
        <w:separator/>
      </w:r>
    </w:p>
  </w:footnote>
  <w:footnote w:type="continuationSeparator" w:id="0">
    <w:p w:rsidR="005B6CF9" w:rsidRDefault="005B6CF9" w:rsidP="00790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1E"/>
    <w:rsid w:val="00001AA4"/>
    <w:rsid w:val="0006378D"/>
    <w:rsid w:val="00084661"/>
    <w:rsid w:val="0009288E"/>
    <w:rsid w:val="000B3E1E"/>
    <w:rsid w:val="000B4419"/>
    <w:rsid w:val="000E0FD9"/>
    <w:rsid w:val="00164EF3"/>
    <w:rsid w:val="00177F3D"/>
    <w:rsid w:val="001952F8"/>
    <w:rsid w:val="001C5DA0"/>
    <w:rsid w:val="001E4BF7"/>
    <w:rsid w:val="00236B66"/>
    <w:rsid w:val="002B3F38"/>
    <w:rsid w:val="002E69B0"/>
    <w:rsid w:val="00310E74"/>
    <w:rsid w:val="003351F2"/>
    <w:rsid w:val="00347314"/>
    <w:rsid w:val="00361389"/>
    <w:rsid w:val="00471068"/>
    <w:rsid w:val="004E2657"/>
    <w:rsid w:val="00510E7B"/>
    <w:rsid w:val="00544C9C"/>
    <w:rsid w:val="00561C6E"/>
    <w:rsid w:val="00566549"/>
    <w:rsid w:val="0059386A"/>
    <w:rsid w:val="005B4BFA"/>
    <w:rsid w:val="005B6CF9"/>
    <w:rsid w:val="00724ABE"/>
    <w:rsid w:val="00737BDF"/>
    <w:rsid w:val="00780FBB"/>
    <w:rsid w:val="00790B10"/>
    <w:rsid w:val="00795597"/>
    <w:rsid w:val="007B1E2D"/>
    <w:rsid w:val="008169C3"/>
    <w:rsid w:val="008303C3"/>
    <w:rsid w:val="008C6E32"/>
    <w:rsid w:val="008E1BC1"/>
    <w:rsid w:val="009B4B6A"/>
    <w:rsid w:val="00A132EC"/>
    <w:rsid w:val="00A24B66"/>
    <w:rsid w:val="00AB0703"/>
    <w:rsid w:val="00AB4A4F"/>
    <w:rsid w:val="00B21348"/>
    <w:rsid w:val="00B53218"/>
    <w:rsid w:val="00B66F54"/>
    <w:rsid w:val="00BA2ED9"/>
    <w:rsid w:val="00BD7EC1"/>
    <w:rsid w:val="00C27EAB"/>
    <w:rsid w:val="00C5767E"/>
    <w:rsid w:val="00C63A45"/>
    <w:rsid w:val="00C723BF"/>
    <w:rsid w:val="00CA3561"/>
    <w:rsid w:val="00CF78BF"/>
    <w:rsid w:val="00D126C2"/>
    <w:rsid w:val="00D17DCD"/>
    <w:rsid w:val="00D21C75"/>
    <w:rsid w:val="00D31117"/>
    <w:rsid w:val="00D506A7"/>
    <w:rsid w:val="00D7598A"/>
    <w:rsid w:val="00D84DA6"/>
    <w:rsid w:val="00E226D9"/>
    <w:rsid w:val="00E251D7"/>
    <w:rsid w:val="00E373C9"/>
    <w:rsid w:val="00E87253"/>
    <w:rsid w:val="00EC57FC"/>
    <w:rsid w:val="00EC5909"/>
    <w:rsid w:val="00ED582E"/>
    <w:rsid w:val="00F00372"/>
    <w:rsid w:val="00F42593"/>
    <w:rsid w:val="00F94FE5"/>
    <w:rsid w:val="00FB7E91"/>
    <w:rsid w:val="00FC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D41B-1D3C-4585-9FE1-CDD42A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5DA0"/>
  </w:style>
  <w:style w:type="character" w:customStyle="1" w:styleId="a4">
    <w:name w:val="日付 (文字)"/>
    <w:basedOn w:val="a0"/>
    <w:link w:val="a3"/>
    <w:uiPriority w:val="99"/>
    <w:semiHidden/>
    <w:rsid w:val="001C5DA0"/>
  </w:style>
  <w:style w:type="character" w:styleId="a5">
    <w:name w:val="Hyperlink"/>
    <w:basedOn w:val="a0"/>
    <w:uiPriority w:val="99"/>
    <w:unhideWhenUsed/>
    <w:rsid w:val="00790B10"/>
    <w:rPr>
      <w:color w:val="0563C1"/>
      <w:u w:val="single"/>
    </w:rPr>
  </w:style>
  <w:style w:type="paragraph" w:styleId="a6">
    <w:name w:val="header"/>
    <w:basedOn w:val="a"/>
    <w:link w:val="a7"/>
    <w:uiPriority w:val="99"/>
    <w:unhideWhenUsed/>
    <w:rsid w:val="00790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0B10"/>
  </w:style>
  <w:style w:type="paragraph" w:styleId="a8">
    <w:name w:val="footer"/>
    <w:basedOn w:val="a"/>
    <w:link w:val="a9"/>
    <w:uiPriority w:val="99"/>
    <w:unhideWhenUsed/>
    <w:rsid w:val="00790B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0B10"/>
  </w:style>
  <w:style w:type="paragraph" w:styleId="aa">
    <w:name w:val="Balloon Text"/>
    <w:basedOn w:val="a"/>
    <w:link w:val="ab"/>
    <w:uiPriority w:val="99"/>
    <w:semiHidden/>
    <w:unhideWhenUsed/>
    <w:rsid w:val="00CA3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3561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780F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nv.go.jp/press/press.php?serial=186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v.go.jp/press/press.php?serial=1863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8</cp:revision>
  <cp:lastPrinted>2014-09-17T00:23:00Z</cp:lastPrinted>
  <dcterms:created xsi:type="dcterms:W3CDTF">2014-09-16T00:01:00Z</dcterms:created>
  <dcterms:modified xsi:type="dcterms:W3CDTF">2014-09-17T04:07:00Z</dcterms:modified>
</cp:coreProperties>
</file>